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23B59627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DC6D0C" w:rsidRPr="00DE2E21">
        <w:rPr>
          <w:rFonts w:ascii="Corbel" w:hAnsi="Corbel"/>
          <w:smallCaps/>
          <w:color w:val="000000" w:themeColor="text1"/>
        </w:rPr>
        <w:t>2020-2023</w:t>
      </w:r>
    </w:p>
    <w:p w14:paraId="062878FE" w14:textId="611CA85A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2021/2022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4D4C4549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F33B4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Wykł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Konw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Sem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33B48">
              <w:rPr>
                <w:rFonts w:ascii="Corbel" w:hAnsi="Corbel"/>
                <w:szCs w:val="24"/>
              </w:rPr>
              <w:t>Prakt</w:t>
            </w:r>
            <w:proofErr w:type="spellEnd"/>
            <w:r w:rsidRPr="00F33B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37092D2B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5C62A38A" w:rsidR="00015B8F" w:rsidRPr="00F33B48" w:rsidRDefault="00BE66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</w:t>
            </w:r>
            <w:r w:rsidR="00C4337F" w:rsidRPr="00F33B48">
              <w:rPr>
                <w:rFonts w:ascii="Corbel" w:hAnsi="Corbel"/>
                <w:sz w:val="24"/>
                <w:szCs w:val="24"/>
              </w:rPr>
              <w:t>5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7CC0C0E7" w:rsidR="00824BFE" w:rsidRPr="00F33B48" w:rsidRDefault="00F33B48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egzamin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lastRenderedPageBreak/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TQM - Total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Quality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 xml:space="preserve">diagram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DE2E21">
              <w:rPr>
                <w:rFonts w:ascii="Corbel" w:hAnsi="Corbel"/>
                <w:sz w:val="24"/>
                <w:szCs w:val="24"/>
              </w:rPr>
              <w:t xml:space="preserve">, analiza </w:t>
            </w:r>
            <w:proofErr w:type="spellStart"/>
            <w:r w:rsidR="00DE2E21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33B4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12165164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33B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33B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7675F44F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6</w:t>
            </w:r>
            <w:r w:rsidR="00BE668E"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y i narzędzia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 xml:space="preserve">Zarządzanie jakością w organizacji: wybrane zagadnienia / Michał Molenda, Patrycja </w:t>
            </w:r>
            <w:proofErr w:type="spellStart"/>
            <w:r w:rsidRPr="504CA914">
              <w:rPr>
                <w:rFonts w:ascii="Corbel" w:hAnsi="Corbel"/>
                <w:sz w:val="24"/>
                <w:szCs w:val="24"/>
              </w:rPr>
              <w:t>Hąbek</w:t>
            </w:r>
            <w:proofErr w:type="spellEnd"/>
            <w:r w:rsidRPr="504CA914">
              <w:rPr>
                <w:rFonts w:ascii="Corbel" w:hAnsi="Corbel"/>
                <w:sz w:val="24"/>
                <w:szCs w:val="24"/>
              </w:rPr>
              <w:t>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</w:t>
            </w:r>
            <w:proofErr w:type="spellStart"/>
            <w:r w:rsidR="00DE2E21" w:rsidRPr="504CA914">
              <w:rPr>
                <w:rFonts w:ascii="Corbel" w:hAnsi="Corbel"/>
                <w:sz w:val="24"/>
                <w:szCs w:val="24"/>
              </w:rPr>
              <w:t>Wawak</w:t>
            </w:r>
            <w:proofErr w:type="spellEnd"/>
            <w:r w:rsidR="00DE2E21" w:rsidRPr="504CA914">
              <w:rPr>
                <w:rFonts w:ascii="Corbel" w:hAnsi="Corbel"/>
                <w:sz w:val="24"/>
                <w:szCs w:val="24"/>
              </w:rPr>
              <w:t xml:space="preserve">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C4C17" w14:textId="77777777" w:rsidR="00A904E2" w:rsidRDefault="00A904E2" w:rsidP="00C16ABF">
      <w:r>
        <w:separator/>
      </w:r>
    </w:p>
  </w:endnote>
  <w:endnote w:type="continuationSeparator" w:id="0">
    <w:p w14:paraId="0E7C2085" w14:textId="77777777" w:rsidR="00A904E2" w:rsidRDefault="00A904E2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A17F0" w14:textId="77777777" w:rsidR="00A904E2" w:rsidRDefault="00A904E2" w:rsidP="00C16ABF">
      <w:r>
        <w:separator/>
      </w:r>
    </w:p>
  </w:footnote>
  <w:footnote w:type="continuationSeparator" w:id="0">
    <w:p w14:paraId="5AB02E04" w14:textId="77777777" w:rsidR="00A904E2" w:rsidRDefault="00A904E2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CA2"/>
    <w:rsid w:val="002144C0"/>
    <w:rsid w:val="00215FA7"/>
    <w:rsid w:val="00220731"/>
    <w:rsid w:val="0022477D"/>
    <w:rsid w:val="00225F5C"/>
    <w:rsid w:val="002278A9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51BEC7-A2C6-40D0-924C-CE8B4485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ABB968-C6DE-407E-94DF-8B62E3CBB1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900</Words>
  <Characters>5404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2020-11-23T11:01:00Z</dcterms:created>
  <dcterms:modified xsi:type="dcterms:W3CDTF">2020-12-07T18:36:00Z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